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02" w:rsidRPr="00332602" w:rsidRDefault="00332602" w:rsidP="003326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2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17. Výroční zpráva podle zákona č. 106/1999 Sb. za rok 2013</w:t>
      </w:r>
    </w:p>
    <w:p w:rsidR="00332602" w:rsidRPr="00332602" w:rsidRDefault="00332602" w:rsidP="0033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332602" w:rsidRPr="00332602" w:rsidRDefault="00332602" w:rsidP="00332602">
      <w:pPr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color w:val="000000"/>
          <w:sz w:val="20"/>
          <w:szCs w:val="20"/>
          <w:lang w:eastAsia="cs-CZ"/>
        </w:rPr>
      </w:pPr>
      <w:r w:rsidRPr="00332602">
        <w:rPr>
          <w:rFonts w:ascii="TimesNewRomanPS-ItalicMT" w:eastAsia="Times New Roman" w:hAnsi="TimesNewRomanPS-ItalicMT" w:cs="TimesNewRomanPS-ItalicMT"/>
          <w:i/>
          <w:iCs/>
          <w:color w:val="000000"/>
          <w:sz w:val="20"/>
          <w:szCs w:val="20"/>
          <w:lang w:eastAsia="cs-CZ"/>
        </w:rPr>
        <w:t>Výroční zpráva povinného subjektu o své činnosti v oblasti poskytování informací podle § 18</w:t>
      </w:r>
    </w:p>
    <w:p w:rsidR="00332602" w:rsidRPr="00332602" w:rsidRDefault="00332602" w:rsidP="00332602">
      <w:pPr>
        <w:adjustRightInd w:val="0"/>
        <w:spacing w:after="0" w:line="240" w:lineRule="auto"/>
        <w:rPr>
          <w:rFonts w:ascii="TimesNewRomanPS-ItalicMT" w:eastAsia="Times New Roman" w:hAnsi="TimesNewRomanPS-ItalicMT" w:cs="TimesNewRomanPS-ItalicMT"/>
          <w:i/>
          <w:iCs/>
          <w:color w:val="000000"/>
          <w:sz w:val="20"/>
          <w:szCs w:val="20"/>
          <w:lang w:eastAsia="cs-CZ"/>
        </w:rPr>
      </w:pPr>
      <w:r w:rsidRPr="00332602">
        <w:rPr>
          <w:rFonts w:ascii="TimesNewRomanPS-ItalicMT" w:eastAsia="Times New Roman" w:hAnsi="TimesNewRomanPS-ItalicMT" w:cs="TimesNewRomanPS-ItalicMT"/>
          <w:i/>
          <w:iCs/>
          <w:color w:val="000000"/>
          <w:sz w:val="20"/>
          <w:szCs w:val="20"/>
          <w:lang w:eastAsia="cs-CZ"/>
        </w:rPr>
        <w:t>zákona. Výroční zprávy se uvádějí nejméně za dva poslední roky. Výroční zpráva za předcházející</w:t>
      </w:r>
    </w:p>
    <w:p w:rsidR="00332602" w:rsidRPr="00332602" w:rsidRDefault="00332602" w:rsidP="00332602">
      <w:pPr>
        <w:spacing w:after="0" w:line="240" w:lineRule="auto"/>
        <w:jc w:val="center"/>
        <w:rPr>
          <w:rFonts w:ascii="TimesNewRomanPS-ItalicMT" w:eastAsia="Times New Roman" w:hAnsi="TimesNewRomanPS-ItalicMT" w:cs="TimesNewRomanPS-ItalicMT"/>
          <w:i/>
          <w:iCs/>
          <w:color w:val="000000"/>
          <w:sz w:val="20"/>
          <w:szCs w:val="20"/>
          <w:lang w:eastAsia="cs-CZ"/>
        </w:rPr>
      </w:pPr>
      <w:r w:rsidRPr="00332602">
        <w:rPr>
          <w:rFonts w:ascii="TimesNewRomanPS-ItalicMT" w:eastAsia="Times New Roman" w:hAnsi="TimesNewRomanPS-ItalicMT" w:cs="TimesNewRomanPS-ItalicMT"/>
          <w:i/>
          <w:iCs/>
          <w:color w:val="000000"/>
          <w:sz w:val="20"/>
          <w:szCs w:val="20"/>
          <w:lang w:eastAsia="cs-CZ"/>
        </w:rPr>
        <w:t>kalendářní rok se zveřejňuje do 1. března běžného roku.</w:t>
      </w:r>
    </w:p>
    <w:p w:rsidR="00332602" w:rsidRPr="00332602" w:rsidRDefault="00332602" w:rsidP="003326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cs-CZ"/>
        </w:rPr>
      </w:pPr>
    </w:p>
    <w:p w:rsidR="00332602" w:rsidRPr="00332602" w:rsidRDefault="00332602" w:rsidP="00332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332602" w:rsidRPr="00332602" w:rsidRDefault="00332602" w:rsidP="00332602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3260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souladu s ustanovením § 18 zákona č. 106/1999, o svobodném přístupu k informacím, podle kterého každý povinný subjekt musí o své činnosti v oblasti poskytování informací předkládat zákonem stanovené údaje, předkládá Obec Březovce tuto „Výroční zprávu za rok 2012.“.</w:t>
      </w:r>
    </w:p>
    <w:p w:rsidR="00332602" w:rsidRPr="00332602" w:rsidRDefault="00332602" w:rsidP="00332602">
      <w:pPr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cs-CZ"/>
        </w:rPr>
      </w:pPr>
    </w:p>
    <w:p w:rsidR="00332602" w:rsidRPr="00332602" w:rsidRDefault="00332602" w:rsidP="0033260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332602" w:rsidRPr="00332602" w:rsidRDefault="00332602" w:rsidP="0033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6"/>
        <w:gridCol w:w="5645"/>
        <w:gridCol w:w="3071"/>
      </w:tblGrid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 podaných žádostí o informace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 vydaných rozhodnutí o odmítnutí žádosti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 podaných odvolání proti rozhodnutí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32602" w:rsidRPr="00332602" w:rsidTr="0033260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h)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další informace vztahující se k uplatňování zákona: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602" w:rsidRPr="00332602" w:rsidRDefault="00332602" w:rsidP="0033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32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:rsidR="00332602" w:rsidRPr="00332602" w:rsidRDefault="00332602" w:rsidP="0033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332602" w:rsidRPr="00332602" w:rsidRDefault="00332602" w:rsidP="0033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332602" w:rsidRPr="00332602" w:rsidRDefault="00332602" w:rsidP="003326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332602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Informace jsou občanům sdělovány především na zasedáních zastupitelstva obce, prostřednictvím úřední desky v obci, umístěné před budovou OÚ Březovice a na návsi v místní části obce Víska, webových stránek, elektronické úřední desky v rámci webových stránek a dalšími způsoby, uvedenými v bodě 21. Informace o informačním systému obce.</w:t>
      </w:r>
    </w:p>
    <w:p w:rsidR="00332602" w:rsidRPr="00332602" w:rsidRDefault="00332602" w:rsidP="003326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332602" w:rsidRPr="00332602" w:rsidRDefault="00332602" w:rsidP="003326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332602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V průběhu roku starosta, místostarosta a někteří zastupitelé poskytovali ústní, telefonické i písemné informace občanům a institucím, kteří se na OÚ obrátili, i když se přímo neodvolávali ve svých žádostech na zákon č. 106/1999 Sb. Počet těchto žádostí není dle ustanovení § 13 odst. 3 zákona č. 106/1999 Sb. v platném znění součástí výroční zprávy o poskytnutí informací. </w:t>
      </w:r>
    </w:p>
    <w:p w:rsidR="00332602" w:rsidRPr="00332602" w:rsidRDefault="00332602" w:rsidP="0033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332602" w:rsidRPr="00332602" w:rsidRDefault="00332602" w:rsidP="0033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332602" w:rsidRPr="00332602" w:rsidRDefault="00332602" w:rsidP="0033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2602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V </w:t>
      </w:r>
      <w:proofErr w:type="spellStart"/>
      <w:r w:rsidRPr="00332602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Březovicích</w:t>
      </w:r>
      <w:proofErr w:type="spellEnd"/>
      <w:r w:rsidRPr="00332602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. dne </w:t>
      </w:r>
      <w:proofErr w:type="gramStart"/>
      <w:r w:rsidRPr="00332602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13.2.2014</w:t>
      </w:r>
      <w:proofErr w:type="gramEnd"/>
    </w:p>
    <w:p w:rsidR="00332602" w:rsidRPr="00332602" w:rsidRDefault="00332602" w:rsidP="003326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:rsidR="009F5772" w:rsidRDefault="009F5772"/>
    <w:sectPr w:rsidR="009F5772" w:rsidSect="009F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32602"/>
    <w:rsid w:val="00017AEC"/>
    <w:rsid w:val="00040699"/>
    <w:rsid w:val="00332602"/>
    <w:rsid w:val="009F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5772"/>
  </w:style>
  <w:style w:type="paragraph" w:styleId="Nadpis1">
    <w:name w:val="heading 1"/>
    <w:basedOn w:val="Normln"/>
    <w:link w:val="Nadpis1Char"/>
    <w:uiPriority w:val="9"/>
    <w:qFormat/>
    <w:rsid w:val="00332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2602"/>
    <w:rPr>
      <w:rFonts w:ascii="Times New Roman" w:eastAsia="Times New Roman" w:hAnsi="Times New Roman" w:cs="Times New Roman"/>
      <w:b/>
      <w:bCs/>
      <w:kern w:val="36"/>
      <w:sz w:val="34"/>
      <w:szCs w:val="3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26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Březovice</dc:creator>
  <cp:lastModifiedBy>Obec Březovice</cp:lastModifiedBy>
  <cp:revision>1</cp:revision>
  <dcterms:created xsi:type="dcterms:W3CDTF">2014-02-13T08:01:00Z</dcterms:created>
  <dcterms:modified xsi:type="dcterms:W3CDTF">2014-02-13T08:05:00Z</dcterms:modified>
</cp:coreProperties>
</file>